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A2316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</w:t>
      </w:r>
      <w:r w:rsidR="00A2316B">
        <w:rPr>
          <w:rFonts w:ascii="Times New Roman" w:hAnsi="Times New Roman"/>
          <w:sz w:val="24"/>
        </w:rPr>
        <w:t xml:space="preserve">МКУ </w:t>
      </w:r>
      <w:r>
        <w:rPr>
          <w:rFonts w:ascii="Times New Roman" w:hAnsi="Times New Roman"/>
          <w:sz w:val="24"/>
        </w:rPr>
        <w:t>Администраци</w:t>
      </w:r>
      <w:r w:rsidR="00A2316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28669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»</w:t>
      </w:r>
      <w:r w:rsidR="00286698">
        <w:rPr>
          <w:rFonts w:ascii="Times New Roman" w:hAnsi="Times New Roman"/>
          <w:sz w:val="24"/>
        </w:rPr>
        <w:t xml:space="preserve"> октября</w:t>
      </w:r>
      <w:r w:rsidR="00E878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2021 г. № </w:t>
      </w:r>
      <w:r w:rsidR="00286698">
        <w:rPr>
          <w:rFonts w:ascii="Times New Roman" w:hAnsi="Times New Roman"/>
          <w:sz w:val="24"/>
        </w:rPr>
        <w:t>52</w:t>
      </w:r>
      <w:r w:rsidR="00BD6432">
        <w:rPr>
          <w:rFonts w:ascii="Times New Roman" w:hAnsi="Times New Roman"/>
          <w:sz w:val="24"/>
        </w:rPr>
        <w:t>9</w:t>
      </w:r>
      <w:r w:rsidR="00E878FA">
        <w:rPr>
          <w:rFonts w:ascii="Times New Roman" w:hAnsi="Times New Roman"/>
          <w:sz w:val="24"/>
        </w:rPr>
        <w:t xml:space="preserve"> </w:t>
      </w:r>
    </w:p>
    <w:p w:rsidR="00CC63C0" w:rsidRPr="00F04782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13AC4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13AC4">
        <w:rPr>
          <w:rFonts w:ascii="Times New Roman" w:hAnsi="Times New Roman" w:cs="Times New Roman"/>
          <w:b/>
          <w:sz w:val="28"/>
          <w:szCs w:val="28"/>
        </w:rPr>
        <w:t xml:space="preserve"> Бичурского района</w:t>
      </w:r>
      <w:r w:rsidR="00286698">
        <w:rPr>
          <w:rFonts w:ascii="Times New Roman" w:hAnsi="Times New Roman" w:cs="Times New Roman"/>
          <w:b/>
          <w:sz w:val="28"/>
          <w:szCs w:val="28"/>
        </w:rPr>
        <w:t xml:space="preserve"> на период 2021-20024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ПАСПОРТ</w:t>
      </w: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850"/>
        <w:gridCol w:w="567"/>
        <w:gridCol w:w="567"/>
        <w:gridCol w:w="992"/>
        <w:gridCol w:w="993"/>
      </w:tblGrid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513AC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«Профилактика терроризма и экстремизма </w:t>
            </w:r>
            <w:r w:rsidR="00513AC4" w:rsidRPr="00BF36AB">
              <w:rPr>
                <w:b w:val="0"/>
                <w:sz w:val="26"/>
                <w:szCs w:val="26"/>
              </w:rPr>
              <w:t>на территории Бичурского района</w:t>
            </w:r>
            <w:r w:rsidR="00286698" w:rsidRPr="00BF36AB">
              <w:rPr>
                <w:b w:val="0"/>
                <w:sz w:val="26"/>
                <w:szCs w:val="26"/>
              </w:rPr>
              <w:t xml:space="preserve"> на период 2021-2024 годы</w:t>
            </w:r>
            <w:r w:rsidRPr="00BF36AB">
              <w:rPr>
                <w:b w:val="0"/>
                <w:sz w:val="26"/>
                <w:szCs w:val="26"/>
              </w:rPr>
              <w:t xml:space="preserve">» </w:t>
            </w:r>
            <w:r w:rsidR="00513AC4" w:rsidRPr="00BF36A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Антитеррористическая комиссия в муниципальном образовании «Бичурский район» (далее – АТК в МО «Бичурский район») в лице начальника ЕДДС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Сектор по физической культуре, спорту и молодежной политике.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«Районное управление образованием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РУО);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«Управление культуры 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УК);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По согласованию: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Главы МО СП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-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Цель: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Противодействие терроризму и экстремизму и защита жизни граждан, проживающих на территории Бичурского района Республики Бурятия. 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Задачи:</w:t>
            </w:r>
          </w:p>
          <w:p w:rsidR="00CC63C0" w:rsidRPr="00BF36AB" w:rsidRDefault="00CC63C0" w:rsidP="00324962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1) О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беспечение выполнения требований 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 xml:space="preserve"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lastRenderedPageBreak/>
              <w:t>массового пребывания людей;</w:t>
            </w:r>
          </w:p>
          <w:p w:rsidR="00CC63C0" w:rsidRPr="00BF36AB" w:rsidRDefault="00CC63C0" w:rsidP="00324962">
            <w:pPr>
              <w:rPr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CC63C0" w:rsidRPr="00CD3072" w:rsidTr="00324962">
        <w:trPr>
          <w:trHeight w:val="3337"/>
        </w:trPr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1) 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района,</w:t>
            </w:r>
            <w:r w:rsidRPr="00BF36AB">
              <w:rPr>
                <w:b w:val="0"/>
                <w:sz w:val="26"/>
                <w:szCs w:val="26"/>
              </w:rPr>
              <w:t>%;</w:t>
            </w:r>
          </w:p>
          <w:p w:rsidR="00CC63C0" w:rsidRPr="00BF36AB" w:rsidRDefault="00CC63C0" w:rsidP="0032496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BF36AB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противодействию </w:t>
            </w:r>
            <w:proofErr w:type="spellStart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терроризма,ед</w:t>
            </w:r>
            <w:proofErr w:type="spellEnd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513AC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 w:rsidR="00286698" w:rsidRPr="00BF36AB">
              <w:rPr>
                <w:b w:val="0"/>
                <w:sz w:val="26"/>
                <w:szCs w:val="26"/>
              </w:rPr>
              <w:t>1</w:t>
            </w:r>
            <w:r w:rsidRPr="00BF36AB">
              <w:rPr>
                <w:b w:val="0"/>
                <w:sz w:val="26"/>
                <w:szCs w:val="26"/>
              </w:rPr>
              <w:t>-202</w:t>
            </w:r>
            <w:r w:rsidR="00513AC4" w:rsidRPr="00BF36AB">
              <w:rPr>
                <w:b w:val="0"/>
                <w:sz w:val="26"/>
                <w:szCs w:val="26"/>
              </w:rPr>
              <w:t>4</w:t>
            </w:r>
            <w:r w:rsidR="00E878FA" w:rsidRPr="00BF36AB">
              <w:rPr>
                <w:b w:val="0"/>
                <w:sz w:val="26"/>
                <w:szCs w:val="26"/>
              </w:rPr>
              <w:t xml:space="preserve"> </w:t>
            </w:r>
            <w:r w:rsidRPr="00BF36AB">
              <w:rPr>
                <w:b w:val="0"/>
                <w:sz w:val="26"/>
                <w:szCs w:val="26"/>
              </w:rPr>
              <w:t xml:space="preserve"> год</w:t>
            </w:r>
            <w:r w:rsidR="00E878FA" w:rsidRPr="00BF36AB">
              <w:rPr>
                <w:b w:val="0"/>
                <w:sz w:val="26"/>
                <w:szCs w:val="26"/>
              </w:rPr>
              <w:t>ы</w:t>
            </w:r>
            <w:r w:rsidR="00513AC4" w:rsidRPr="00BF36AB">
              <w:rPr>
                <w:b w:val="0"/>
                <w:sz w:val="26"/>
                <w:szCs w:val="26"/>
              </w:rPr>
              <w:t xml:space="preserve"> </w:t>
            </w:r>
            <w:r w:rsidR="006628CC">
              <w:rPr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513AC4" w:rsidRPr="00BF36AB" w:rsidRDefault="006628CC" w:rsidP="00513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C63C0" w:rsidRPr="00CD3072" w:rsidTr="00324962">
        <w:tc>
          <w:tcPr>
            <w:tcW w:w="4173" w:type="dxa"/>
            <w:vMerge w:val="restart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 муниципальной программ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тыс. руб.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ФБ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МБ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ВИ</w:t>
            </w:r>
          </w:p>
        </w:tc>
      </w:tr>
      <w:tr w:rsidR="001F3E7E" w:rsidRPr="00CD3072" w:rsidTr="00324962">
        <w:tc>
          <w:tcPr>
            <w:tcW w:w="4173" w:type="dxa"/>
            <w:vMerge/>
          </w:tcPr>
          <w:p w:rsidR="001F3E7E" w:rsidRPr="00BF36AB" w:rsidRDefault="001F3E7E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1F3E7E" w:rsidRPr="00BF36AB" w:rsidRDefault="001F3E7E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jc w:val="both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-  к 202</w:t>
            </w:r>
            <w:r w:rsidR="00513AC4" w:rsidRPr="00BF36AB">
              <w:rPr>
                <w:b w:val="0"/>
                <w:sz w:val="26"/>
                <w:szCs w:val="26"/>
              </w:rPr>
              <w:t>4</w:t>
            </w:r>
            <w:r w:rsidRPr="00BF36AB">
              <w:rPr>
                <w:b w:val="0"/>
                <w:sz w:val="26"/>
                <w:szCs w:val="26"/>
              </w:rPr>
              <w:t xml:space="preserve"> году </w:t>
            </w:r>
            <w:proofErr w:type="gramStart"/>
            <w:r w:rsidRPr="00BF36AB">
              <w:rPr>
                <w:b w:val="0"/>
                <w:sz w:val="26"/>
                <w:szCs w:val="26"/>
              </w:rPr>
              <w:t>доведения уровня информированности  жителей района</w:t>
            </w:r>
            <w:proofErr w:type="gramEnd"/>
            <w:r w:rsidRPr="00BF36AB">
              <w:rPr>
                <w:b w:val="0"/>
                <w:sz w:val="26"/>
                <w:szCs w:val="26"/>
              </w:rPr>
              <w:t xml:space="preserve"> по профилактике терроризма до 100%</w:t>
            </w:r>
          </w:p>
          <w:p w:rsidR="00CC63C0" w:rsidRPr="00BF36AB" w:rsidRDefault="00CC63C0" w:rsidP="00324962">
            <w:pPr>
              <w:rPr>
                <w:sz w:val="26"/>
                <w:szCs w:val="26"/>
              </w:rPr>
            </w:pPr>
          </w:p>
        </w:tc>
      </w:tr>
    </w:tbl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3C0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BF36AB" w:rsidRDefault="00BF36AB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BF36AB" w:rsidRDefault="00BF36AB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CC63C0" w:rsidRPr="00261924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 Программы</w:t>
      </w:r>
      <w:r>
        <w:rPr>
          <w:rFonts w:ascii="Times New Roman" w:hAnsi="Times New Roman"/>
          <w:b/>
          <w:sz w:val="26"/>
          <w:szCs w:val="26"/>
        </w:rPr>
        <w:t xml:space="preserve"> (подпрограммы)</w:t>
      </w:r>
    </w:p>
    <w:p w:rsidR="00CC63C0" w:rsidRPr="00A00912" w:rsidRDefault="00CC63C0" w:rsidP="00CC6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>Социально-экономическую и общественно-политическую обстановку на территории Бичурского района, в 2020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 xml:space="preserve">Основными </w:t>
      </w:r>
      <w:proofErr w:type="spellStart"/>
      <w:r w:rsidRPr="00A00912">
        <w:rPr>
          <w:rFonts w:ascii="Times New Roman" w:hAnsi="Times New Roman"/>
          <w:sz w:val="28"/>
          <w:szCs w:val="28"/>
        </w:rPr>
        <w:t>угрозообразующими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A00912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A00912">
        <w:rPr>
          <w:rFonts w:ascii="Times New Roman" w:hAnsi="Times New Roman"/>
          <w:sz w:val="28"/>
          <w:szCs w:val="28"/>
        </w:rPr>
        <w:t xml:space="preserve"> являются: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A00912">
        <w:rPr>
          <w:rFonts w:ascii="Times New Roman" w:hAnsi="Times New Roman"/>
          <w:sz w:val="28"/>
          <w:szCs w:val="28"/>
        </w:rPr>
        <w:t>северокавказкого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регионов.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>По данным Отдела МВД России по Бичурскому району, в</w:t>
      </w:r>
      <w:r w:rsidRPr="00A00912">
        <w:rPr>
          <w:rFonts w:ascii="Times New Roman" w:hAnsi="Times New Roman"/>
          <w:bCs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A00912">
        <w:rPr>
          <w:rFonts w:ascii="Times New Roman" w:hAnsi="Times New Roman"/>
          <w:bCs/>
          <w:sz w:val="28"/>
          <w:szCs w:val="28"/>
        </w:rPr>
        <w:t>Бичурском</w:t>
      </w:r>
      <w:proofErr w:type="spellEnd"/>
      <w:r w:rsidRPr="00A00912">
        <w:rPr>
          <w:rFonts w:ascii="Times New Roman" w:hAnsi="Times New Roman"/>
          <w:bCs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>На территории Бичурского района проводятся мероприятия, направленные на профилактику терроризма и экстремизма. Так, в 2020 году  сектором по физической культуре, спорту и молодежной политике охвачено 61 человек, в том числе 32 ребенка. Проведена акция «Сдай нормы ГТО, скажи «НЕТ ТЕРРОРИЗМУ!», онлайн-конкурс «Мы против террора!», «Волонтеры против терроризма»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>МУ «Районное управление образованием» организована работа по профилактике терроризма. Во всех школах района проведены акции «Мы говорим террору нет!», «Не дадим взорвать мир». Проводились конкурсы рисунков «МЫ ЗА МИР</w:t>
      </w:r>
      <w:proofErr w:type="gramStart"/>
      <w:r w:rsidRPr="00A00912">
        <w:rPr>
          <w:sz w:val="28"/>
          <w:szCs w:val="28"/>
        </w:rPr>
        <w:t>.Т</w:t>
      </w:r>
      <w:proofErr w:type="gramEnd"/>
      <w:r w:rsidRPr="00A00912">
        <w:rPr>
          <w:sz w:val="28"/>
          <w:szCs w:val="28"/>
        </w:rPr>
        <w:t>ЕРРОРУ-НЕТ!», а так же транслировались учащимся видеоролики на тему «России против террора». В учебных учреждениях оформлены уголки «Терроризм-угроза обществу».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Сотрудниками полиции в 2020 году проведено с использованием наглядной агитации 12 лекций в учебных заведениях района, в целях профилактики преступлений и правонарушений террористической и экстремистской направленности. По состоянию на 24 декабря 2020 года в районе зарегистрировано 1 лицо без гражданства, при этом проживает 78  иностранных граждан, из них трудоустроено 48 человек: в лесной сфере - 32 и в строительстве – 16. На территории Бичурского района находится 128 объектов, подлежащих антитеррористической защищенности. На оперативном контроле в Отделе МВД </w:t>
      </w:r>
      <w:r w:rsidRPr="00A00912">
        <w:rPr>
          <w:sz w:val="28"/>
          <w:szCs w:val="28"/>
        </w:rPr>
        <w:lastRenderedPageBreak/>
        <w:t>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CC63C0" w:rsidRPr="004040A8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Проблемные </w:t>
      </w:r>
      <w:r w:rsidRPr="004040A8">
        <w:rPr>
          <w:sz w:val="28"/>
          <w:szCs w:val="28"/>
        </w:rPr>
        <w:t>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Профилактика и предупреждение террористических и экстремистских 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осуществля</w:t>
      </w:r>
      <w:r w:rsidRPr="004040A8"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z w:val="28"/>
          <w:szCs w:val="28"/>
        </w:rPr>
        <w:t xml:space="preserve"> следующих мероприятиях</w:t>
      </w:r>
      <w:r w:rsidRPr="004040A8">
        <w:rPr>
          <w:rFonts w:ascii="Times New Roman" w:hAnsi="Times New Roman"/>
          <w:sz w:val="28"/>
          <w:szCs w:val="28"/>
        </w:rPr>
        <w:t>: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информировании правоохранительных органов о фактах нахождения (проживания</w:t>
      </w:r>
      <w:proofErr w:type="gramStart"/>
      <w:r w:rsidRPr="004040A8">
        <w:rPr>
          <w:rFonts w:ascii="Times New Roman" w:hAnsi="Times New Roman"/>
          <w:sz w:val="28"/>
          <w:szCs w:val="28"/>
        </w:rPr>
        <w:t>)п</w:t>
      </w:r>
      <w:proofErr w:type="gramEnd"/>
      <w:r w:rsidRPr="004040A8">
        <w:rPr>
          <w:rFonts w:ascii="Times New Roman" w:hAnsi="Times New Roman"/>
          <w:sz w:val="28"/>
          <w:szCs w:val="28"/>
        </w:rPr>
        <w:t>одозрительных лиц, а также предметов и вещей в заброшенных зданиях и помещениях на территории муниципального образования;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территориях</w:t>
      </w:r>
      <w:proofErr w:type="gramStart"/>
      <w:r w:rsidRPr="004040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>-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  <w:proofErr w:type="gramEnd"/>
    </w:p>
    <w:p w:rsidR="00CC63C0" w:rsidRPr="004040A8" w:rsidRDefault="00255B82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63C0" w:rsidRPr="004040A8">
        <w:rPr>
          <w:rFonts w:ascii="Times New Roman" w:hAnsi="Times New Roman"/>
          <w:sz w:val="28"/>
          <w:szCs w:val="28"/>
        </w:rPr>
        <w:t>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>- обследовании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A8">
        <w:rPr>
          <w:rFonts w:ascii="Times New Roman" w:hAnsi="Times New Roman"/>
          <w:sz w:val="28"/>
          <w:szCs w:val="28"/>
        </w:rPr>
        <w:t xml:space="preserve">- проведении 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4040A8">
        <w:rPr>
          <w:rFonts w:ascii="Times New Roman" w:hAnsi="Times New Roman"/>
          <w:sz w:val="28"/>
          <w:szCs w:val="28"/>
        </w:rPr>
        <w:t>взрыво</w:t>
      </w:r>
      <w:proofErr w:type="spellEnd"/>
      <w:r w:rsidRPr="004040A8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пожароопасных и объектов транспортной инфраструктуры мест массового пребывания людей;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информировании правоохранительных органов об автотранспортных средствах, припаркованных вблизи мест массового пребывания граждан (культурн</w:t>
      </w:r>
      <w:proofErr w:type="gramStart"/>
      <w:r w:rsidRPr="004040A8">
        <w:rPr>
          <w:rFonts w:ascii="Times New Roman" w:hAnsi="Times New Roman"/>
          <w:sz w:val="28"/>
          <w:szCs w:val="28"/>
        </w:rPr>
        <w:t>о-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зрелищные учреждения, больницы, школы, детские дошкольные учреждения, жилой сектор), вызывающих подозрение;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семинаров с руководителями учебных, дошкольных и культурных учреждений по вопросам организации системы антитеррористической защиты;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040A8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взаимодействия с общественными, религиозными и молодежными организациями с целью недопущения экстремистских действий.</w:t>
      </w:r>
    </w:p>
    <w:p w:rsidR="00CC63C0" w:rsidRPr="004040A8" w:rsidRDefault="00CC63C0" w:rsidP="00CC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>- проведении информационн</w:t>
      </w:r>
      <w:proofErr w:type="gramStart"/>
      <w:r w:rsidRPr="004040A8">
        <w:rPr>
          <w:rFonts w:ascii="Times New Roman" w:hAnsi="Times New Roman"/>
          <w:sz w:val="28"/>
          <w:szCs w:val="28"/>
        </w:rPr>
        <w:t>о-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040A8">
        <w:rPr>
          <w:rFonts w:ascii="Times New Roman" w:hAnsi="Times New Roman"/>
          <w:sz w:val="28"/>
          <w:szCs w:val="28"/>
        </w:rPr>
        <w:t>размещении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информационных сообщений и материалов антитеррористического характера на официальном сайте Администрации муниципального района;</w:t>
      </w:r>
    </w:p>
    <w:p w:rsidR="00CC63C0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0A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CC63C0" w:rsidRPr="007839A6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CC63C0" w:rsidRPr="00FF4126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>2.Основные цели и задачи Программы (подпрограммы)</w:t>
      </w:r>
    </w:p>
    <w:p w:rsidR="00CC63C0" w:rsidRPr="00261924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CC63C0" w:rsidRPr="00A70619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FF4126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19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и защита жизни граждан, проживающих на территории Бичурского района Республики Бурятия.</w:t>
      </w:r>
    </w:p>
    <w:p w:rsidR="00CC63C0" w:rsidRDefault="00CC63C0" w:rsidP="00CC63C0">
      <w:pPr>
        <w:pStyle w:val="a5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     </w:t>
      </w:r>
      <w:r w:rsidRPr="00075F0A">
        <w:rPr>
          <w:b w:val="0"/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  <w:r w:rsidRPr="00075F0A">
        <w:rPr>
          <w:b w:val="0"/>
          <w:sz w:val="28"/>
          <w:szCs w:val="28"/>
        </w:rPr>
        <w:t xml:space="preserve"> </w:t>
      </w:r>
    </w:p>
    <w:p w:rsidR="00CC63C0" w:rsidRDefault="00CC63C0" w:rsidP="00CC63C0">
      <w:pPr>
        <w:pStyle w:val="a5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-о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беспечение выполнения требований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массового пребывания людей,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противотаранных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заграждений, установка ограждения по периметру и т.д.)</w:t>
      </w:r>
      <w:proofErr w:type="gramEnd"/>
    </w:p>
    <w:p w:rsidR="00CC63C0" w:rsidRPr="00FF4126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Liberation Serif" w:hAnsi="Liberation Serif" w:cs="Liberation Serif"/>
          <w:sz w:val="28"/>
          <w:szCs w:val="28"/>
        </w:rPr>
        <w:t>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C63C0" w:rsidRPr="00261924" w:rsidRDefault="00CC63C0" w:rsidP="00CC63C0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63C0" w:rsidRPr="00261924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C63C0" w:rsidRPr="00FF4126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 xml:space="preserve">3. </w:t>
      </w:r>
      <w:r w:rsidRPr="00FF4126">
        <w:rPr>
          <w:rFonts w:ascii="Times New Roman" w:hAnsi="Times New Roman"/>
          <w:b/>
          <w:bCs/>
          <w:sz w:val="28"/>
          <w:szCs w:val="28"/>
        </w:rPr>
        <w:t>Целевые индикаторы Программы (подпрограммы) и их значения</w:t>
      </w:r>
    </w:p>
    <w:p w:rsidR="00CC63C0" w:rsidRPr="00FF4126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3C0" w:rsidRPr="00FF4126" w:rsidRDefault="00CC63C0" w:rsidP="00CC63C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4126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C63C0" w:rsidRPr="00F13C8D" w:rsidRDefault="00CC63C0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C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 объектов, в которых проведены мероприятия по обеспечению АТЗ, от общего числа объектов расположенных на территории района,%</w:t>
      </w:r>
    </w:p>
    <w:p w:rsidR="007F137D" w:rsidRDefault="00CC63C0" w:rsidP="007F137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Целевой показатель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по информационно-пропагандистскому сопровождению деятельности по противодействию </w:t>
      </w:r>
      <w:proofErr w:type="spellStart"/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терроризма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F137D"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</w:p>
    <w:p w:rsidR="007F137D" w:rsidRDefault="007F137D" w:rsidP="007F137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F137D" w:rsidRDefault="007F137D" w:rsidP="007F137D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Таблица 3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F137D" w:rsidRDefault="007F137D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F137D" w:rsidRDefault="007F137D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Таблица 3</w:t>
      </w: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86698" w:rsidRPr="00A96D35" w:rsidRDefault="00286698" w:rsidP="002866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81A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.Целевые  индикаторы</w:t>
      </w:r>
      <w:r w:rsidRPr="00494F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(подпрограммы) и их значение</w:t>
      </w:r>
    </w:p>
    <w:tbl>
      <w:tblPr>
        <w:tblW w:w="4621" w:type="pct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64"/>
        <w:gridCol w:w="1896"/>
        <w:gridCol w:w="1316"/>
        <w:gridCol w:w="1200"/>
        <w:gridCol w:w="1563"/>
        <w:gridCol w:w="1419"/>
        <w:gridCol w:w="1674"/>
        <w:gridCol w:w="2112"/>
      </w:tblGrid>
      <w:tr w:rsidR="00286698" w:rsidRPr="003E78E1" w:rsidTr="00EE248B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698" w:rsidRPr="00681ACC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1ACC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6698" w:rsidRPr="00453909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909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112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669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Прогнозный период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 определения индикатора (порядок расчета)</w:t>
            </w:r>
          </w:p>
        </w:tc>
      </w:tr>
      <w:tr w:rsidR="00EE248B" w:rsidRPr="00E228FC" w:rsidTr="00EE248B">
        <w:trPr>
          <w:cantSplit/>
          <w:trHeight w:val="612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9D091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48B" w:rsidRPr="003E78E1" w:rsidRDefault="00EE248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 г.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8B" w:rsidRPr="00E228FC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E248B" w:rsidRPr="003E78E1" w:rsidTr="00EE248B">
        <w:trPr>
          <w:cantSplit/>
          <w:trHeight w:val="303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9D09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:              о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выполнения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Целевой индикатор</w:t>
            </w: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3C8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Данные, предоставленные  ОМВД России по Бичурскому району, МУ «РУО»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 «Управление культуры», Сектором по физической культуре, спорту и молодежной политике, Главами МО СП.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EE248B" w:rsidRPr="003E78E1" w:rsidTr="00EE248B">
        <w:trPr>
          <w:cantSplit/>
          <w:trHeight w:val="258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9D09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48B" w:rsidRPr="001E44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оличество мероприятий по информационно-пропагандистскому сопровождению деятельности по противодействию терроризма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48B" w:rsidRPr="003E78E1" w:rsidRDefault="00EE248B" w:rsidP="001F3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1F3E7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1F3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F3E7E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1F3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1F3E7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 2 статьи 5.2  от 6 марта 2006 года №35-ФЗ «О терроризме»</w:t>
            </w:r>
          </w:p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Данные, предоставленные  Отделом МВД России по Бичурскому району, МУ «РУО»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У «Управление культуры», Сектором по физической культуре, спорту и молодежной политике, Главами МО СП</w:t>
            </w:r>
          </w:p>
        </w:tc>
      </w:tr>
    </w:tbl>
    <w:p w:rsidR="00286698" w:rsidRDefault="00286698" w:rsidP="00286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286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2866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C63C0" w:rsidRPr="002360C8" w:rsidRDefault="00286698" w:rsidP="00CC63C0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C63C0" w:rsidRPr="002360C8">
        <w:rPr>
          <w:rFonts w:ascii="Times New Roman" w:hAnsi="Times New Roman"/>
          <w:b/>
          <w:sz w:val="28"/>
          <w:szCs w:val="28"/>
        </w:rPr>
        <w:t xml:space="preserve">.Ресурсное обеспечение  Программы </w:t>
      </w: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63C0" w:rsidRPr="002360C8" w:rsidRDefault="00CC63C0" w:rsidP="00CC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утвержденных  МКУ Администраци</w:t>
      </w:r>
      <w:r w:rsidRPr="002360C8">
        <w:rPr>
          <w:rFonts w:ascii="Times New Roman" w:hAnsi="Times New Roman"/>
          <w:sz w:val="28"/>
          <w:szCs w:val="28"/>
        </w:rPr>
        <w:t>я МО «Бичурский район», Советом депутатов МО «Бичурский район».</w:t>
      </w:r>
    </w:p>
    <w:p w:rsidR="00CC63C0" w:rsidRPr="002360C8" w:rsidRDefault="00CC63C0" w:rsidP="00CC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CC63C0" w:rsidRPr="002360C8" w:rsidRDefault="00CC63C0" w:rsidP="00CC63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Par439"/>
      <w:bookmarkEnd w:id="1"/>
    </w:p>
    <w:p w:rsidR="00CC63C0" w:rsidRPr="002360C8" w:rsidRDefault="00CC63C0" w:rsidP="00CC63C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CC63C0" w:rsidRPr="002360C8" w:rsidRDefault="00CC63C0" w:rsidP="00CC63C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CC63C0" w:rsidRDefault="00CC63C0" w:rsidP="00CC63C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E0B11" w:rsidRDefault="00DE0B11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>
      <w:p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Pr="002F76E6" w:rsidRDefault="00286698" w:rsidP="00EE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F76E6">
        <w:rPr>
          <w:rFonts w:ascii="Times New Roman" w:hAnsi="Times New Roman"/>
          <w:bCs/>
          <w:sz w:val="28"/>
          <w:szCs w:val="28"/>
        </w:rPr>
        <w:t>Таблица 4</w:t>
      </w:r>
    </w:p>
    <w:p w:rsidR="00286698" w:rsidRPr="00EE248B" w:rsidRDefault="00286698" w:rsidP="00EE24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8B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муниципальной программы </w:t>
      </w:r>
      <w:r w:rsidRPr="00EE24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248B">
        <w:rPr>
          <w:rFonts w:ascii="Times New Roman" w:hAnsi="Times New Roman" w:cs="Times New Roman"/>
          <w:b/>
          <w:sz w:val="26"/>
          <w:szCs w:val="26"/>
        </w:rPr>
        <w:t xml:space="preserve">Профилактика терроризма и экстремизма </w:t>
      </w: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EE248B">
        <w:rPr>
          <w:rFonts w:ascii="Times New Roman" w:hAnsi="Times New Roman" w:cs="Times New Roman"/>
          <w:b/>
          <w:sz w:val="26"/>
          <w:szCs w:val="26"/>
        </w:rPr>
        <w:t xml:space="preserve">на территории Бичурского района  </w:t>
      </w:r>
      <w:r w:rsidRPr="00EE248B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1886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3969"/>
        <w:gridCol w:w="2409"/>
        <w:gridCol w:w="850"/>
        <w:gridCol w:w="850"/>
        <w:gridCol w:w="682"/>
        <w:gridCol w:w="27"/>
        <w:gridCol w:w="831"/>
      </w:tblGrid>
      <w:tr w:rsidR="00EE248B" w:rsidRPr="00EE248B" w:rsidTr="00EE248B">
        <w:trPr>
          <w:trHeight w:val="3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Статус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2023 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BF36A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2024 </w:t>
            </w:r>
          </w:p>
        </w:tc>
      </w:tr>
      <w:tr w:rsidR="00EE248B" w:rsidRPr="00EE248B" w:rsidTr="00EE248B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Программа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на территории Бичурского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 Мероприятие  1.1.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так же выпуск/размещение виде</w:t>
            </w:r>
            <w:proofErr w:type="gramStart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аудиороликов</w:t>
            </w:r>
            <w:proofErr w:type="spellEnd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 Мероприятие 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Выполнение требований АТЗ объектов (территорий), находящихся в муниципальной </w:t>
            </w:r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lastRenderedPageBreak/>
              <w:t xml:space="preserve">собственности или в ведении органов местного самоуправления и мест массового пребывания </w:t>
            </w:r>
            <w:proofErr w:type="gram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людей</w:t>
            </w:r>
            <w:proofErr w:type="gram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противотаранных</w:t>
            </w:r>
            <w:proofErr w:type="spell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заграждений, установка ограждения по периметру и т.д.)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3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56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5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28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Мероприятие 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8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6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8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86698" w:rsidRDefault="00286698" w:rsidP="00EE248B">
      <w:pPr>
        <w:spacing w:after="0" w:line="240" w:lineRule="auto"/>
      </w:pPr>
    </w:p>
    <w:p w:rsidR="00286698" w:rsidRDefault="00286698"/>
    <w:p w:rsidR="000939FC" w:rsidRDefault="000939FC">
      <w:pPr>
        <w:sectPr w:rsidR="000939FC" w:rsidSect="00EE248B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9FC" w:rsidRPr="002360C8" w:rsidRDefault="000939FC" w:rsidP="000939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  <w:sectPr w:rsidR="00BF36AB" w:rsidSect="00BF36AB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Таблица 5</w:t>
      </w: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0939FC" w:rsidRPr="002360C8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Pr="00BF36AB" w:rsidRDefault="000939FC" w:rsidP="000939F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F36AB">
        <w:rPr>
          <w:rFonts w:ascii="Times New Roman" w:hAnsi="Times New Roman"/>
          <w:sz w:val="26"/>
          <w:szCs w:val="26"/>
        </w:rPr>
        <w:t>Программные документы МО «Бичурский район»</w:t>
      </w:r>
    </w:p>
    <w:tbl>
      <w:tblPr>
        <w:tblW w:w="1318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3260"/>
        <w:gridCol w:w="3408"/>
        <w:gridCol w:w="2693"/>
      </w:tblGrid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нормативно-правового акта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сроки </w:t>
            </w:r>
          </w:p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МКУ Администрация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МО «Бичурский район» «Об утверждении муниципальной программы «Профилактика терроризма и экстремизма на территории Бичурского района»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финансовый год по профилактике терроризма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АТК в МО «Бичурский район»,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 лице начальника ЕДДС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ежегодно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/>
                <w:bCs/>
                <w:sz w:val="26"/>
                <w:szCs w:val="26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 (территорий)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 по АТЗ отдельных объектов (территорий)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Руководители органов (организаций), являющихся правообладателями объектов (территорий), а так же должностных лиц, осуществляющих непосредственное руководство деятельностью работников на объектах (территориях)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;О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МСУ на которых расположены объекты (территории)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126">
        <w:rPr>
          <w:rFonts w:ascii="Times New Roman" w:hAnsi="Times New Roman" w:cs="Times New Roman"/>
          <w:b/>
          <w:sz w:val="28"/>
          <w:szCs w:val="28"/>
        </w:rPr>
        <w:t>. Срок реализации Программы</w:t>
      </w:r>
      <w:bookmarkStart w:id="2" w:name="Par65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«Профилактика терроризма и экстремизма на территории Бичурского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период 2021-2024 годы» предусмотрена на  2021</w:t>
      </w:r>
      <w:r w:rsidRPr="00FF41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годы  на период до 2030 года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07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52" w:type="dxa"/>
        <w:tblLook w:val="04A0" w:firstRow="1" w:lastRow="0" w:firstColumn="1" w:lastColumn="0" w:noHBand="0" w:noVBand="1"/>
      </w:tblPr>
      <w:tblGrid>
        <w:gridCol w:w="812"/>
        <w:gridCol w:w="6448"/>
        <w:gridCol w:w="2475"/>
        <w:gridCol w:w="4382"/>
      </w:tblGrid>
      <w:tr w:rsidR="000939FC" w:rsidTr="006C0E81">
        <w:tc>
          <w:tcPr>
            <w:tcW w:w="817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№</w:t>
            </w:r>
            <w:proofErr w:type="gramStart"/>
            <w:r w:rsidRPr="00571427">
              <w:rPr>
                <w:rFonts w:ascii="Times New Roman" w:hAnsi="Times New Roman" w:cs="Times New Roman"/>
              </w:rPr>
              <w:t>п</w:t>
            </w:r>
            <w:proofErr w:type="gramEnd"/>
            <w:r w:rsidRPr="00571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61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Наименование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13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433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Бичурского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2021-2024 годы»</w:t>
            </w:r>
          </w:p>
        </w:tc>
        <w:tc>
          <w:tcPr>
            <w:tcW w:w="2513" w:type="dxa"/>
          </w:tcPr>
          <w:p w:rsidR="000939FC" w:rsidRDefault="000939FC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недопущение распространения идеологии терроризма и экстремизма на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 «Бичурский район»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1" w:type="dxa"/>
          </w:tcPr>
          <w:p w:rsidR="000939FC" w:rsidRPr="00FF4126" w:rsidRDefault="000939FC" w:rsidP="006C0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proofErr w:type="gram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513" w:type="dxa"/>
          </w:tcPr>
          <w:p w:rsidR="000939FC" w:rsidRDefault="000939FC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2021-2024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Бичурского района,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1" w:type="dxa"/>
          </w:tcPr>
          <w:p w:rsidR="000939FC" w:rsidRDefault="000939FC" w:rsidP="006C0E8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 xml:space="preserve">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0939FC" w:rsidRPr="00C05C3D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939FC" w:rsidRDefault="000939FC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АТЗ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объектов с массовым пребыванием людей.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61" w:type="dxa"/>
          </w:tcPr>
          <w:p w:rsidR="000939FC" w:rsidRPr="00571427" w:rsidRDefault="000939FC" w:rsidP="006C0E8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1427">
              <w:rPr>
                <w:b w:val="0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513" w:type="dxa"/>
          </w:tcPr>
          <w:p w:rsidR="000939FC" w:rsidRDefault="000939FC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4433" w:type="dxa"/>
          </w:tcPr>
          <w:p w:rsidR="000939FC" w:rsidRPr="00E13794" w:rsidRDefault="000939FC" w:rsidP="006C0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межнациональной и межрелигиозной толерантности среди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3794">
              <w:rPr>
                <w:rFonts w:ascii="Times New Roman" w:hAnsi="Times New Roman" w:cs="Times New Roman"/>
                <w:sz w:val="28"/>
                <w:szCs w:val="28"/>
              </w:rPr>
              <w:t>учащихся/студентов  образовательных учреждений, молодежи, населения и иных категорий населения</w:t>
            </w:r>
          </w:p>
          <w:p w:rsidR="000939FC" w:rsidRPr="001135AC" w:rsidRDefault="000939FC" w:rsidP="006C0E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идей межнациональной терпимости, дружбы, доб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рососедства, взаимного уважения.</w:t>
            </w:r>
          </w:p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FC" w:rsidRPr="00FF4126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6AB" w:rsidRDefault="00BF36AB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BF36AB" w:rsidSect="000939FC">
          <w:pgSz w:w="16838" w:h="11906" w:orient="landscape"/>
          <w:pgMar w:top="425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FF4126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Pr="00C9702E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702E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указанных в Таблице3, исходя из соответствия фактических значений показателе</w:t>
      </w:r>
      <w:proofErr w:type="gramStart"/>
      <w:r w:rsidRPr="00C9702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9702E">
        <w:rPr>
          <w:rFonts w:ascii="Times New Roman" w:hAnsi="Times New Roman" w:cs="Times New Roman"/>
          <w:sz w:val="28"/>
          <w:szCs w:val="28"/>
        </w:rPr>
        <w:t xml:space="preserve">индикаторов) с их целевыми значениями. 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= --- x 100</w:t>
      </w:r>
      <w:r>
        <w:rPr>
          <w:rFonts w:ascii="Times New Roman" w:hAnsi="Times New Roman"/>
          <w:sz w:val="28"/>
          <w:szCs w:val="28"/>
        </w:rPr>
        <w:t>,</w:t>
      </w:r>
      <w:r w:rsidRPr="00C96113">
        <w:rPr>
          <w:rFonts w:ascii="Times New Roman" w:hAnsi="Times New Roman"/>
          <w:sz w:val="28"/>
          <w:szCs w:val="28"/>
        </w:rPr>
        <w:t>%, где: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индикатора (показателя результатов</w:t>
      </w:r>
      <w:r w:rsidRPr="00C96113">
        <w:rPr>
          <w:rFonts w:ascii="Times New Roman" w:hAnsi="Times New Roman"/>
          <w:sz w:val="28"/>
          <w:szCs w:val="28"/>
        </w:rPr>
        <w:t xml:space="preserve"> муниципальной программы (процентов);</w:t>
      </w:r>
    </w:p>
    <w:p w:rsidR="000939FC" w:rsidRPr="00801526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фактический индикатор, отражающий реализацию i-й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88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939FC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939FC" w:rsidRPr="00071164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611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C96113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E = ------</w:t>
      </w:r>
      <w:r w:rsidRPr="00C9702E">
        <w:rPr>
          <w:rFonts w:ascii="Times New Roman" w:hAnsi="Times New Roman"/>
          <w:sz w:val="28"/>
          <w:szCs w:val="28"/>
          <w:lang w:val="en-US"/>
        </w:rPr>
        <w:t>: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Pr="00C9702E">
        <w:rPr>
          <w:rFonts w:ascii="Times New Roman" w:hAnsi="Times New Roman"/>
          <w:sz w:val="28"/>
          <w:szCs w:val="28"/>
          <w:lang w:val="en-US"/>
        </w:rPr>
        <w:t>,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>где</w:t>
      </w:r>
      <w:r w:rsidRPr="00C96113">
        <w:rPr>
          <w:rFonts w:ascii="Times New Roman" w:hAnsi="Times New Roman"/>
          <w:sz w:val="28"/>
          <w:szCs w:val="28"/>
          <w:lang w:val="en-US"/>
        </w:rPr>
        <w:t>: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96113">
        <w:rPr>
          <w:rFonts w:ascii="Times New Roman" w:hAnsi="Times New Roman"/>
          <w:sz w:val="28"/>
          <w:szCs w:val="28"/>
        </w:rPr>
        <w:t>n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</w:t>
      </w:r>
      <w:r w:rsidRPr="00B23113">
        <w:rPr>
          <w:rFonts w:ascii="Times New Roman" w:hAnsi="Times New Roman"/>
          <w:sz w:val="28"/>
          <w:szCs w:val="28"/>
        </w:rPr>
        <w:t>коэффициентов);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2311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0939FC" w:rsidRPr="00071164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B2311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0939FC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113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9611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</w:t>
      </w:r>
      <w:proofErr w:type="gramEnd"/>
      <w:r w:rsidRPr="00C96113">
        <w:rPr>
          <w:rFonts w:ascii="Times New Roman" w:hAnsi="Times New Roman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BF36AB" w:rsidRDefault="00BF36AB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</w:t>
      </w:r>
      <w:r w:rsidRPr="00C96113">
        <w:rPr>
          <w:rFonts w:ascii="Times New Roman" w:hAnsi="Times New Roman"/>
          <w:sz w:val="28"/>
          <w:szCs w:val="28"/>
        </w:rPr>
        <w:t xml:space="preserve">ценка </w:t>
      </w:r>
      <w:r w:rsidRPr="008F42CA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</w:t>
      </w:r>
      <w:r w:rsidRPr="008F42CA">
        <w:rPr>
          <w:rFonts w:ascii="Times New Roman" w:hAnsi="Times New Roman" w:cs="Times New Roman"/>
          <w:sz w:val="28"/>
          <w:szCs w:val="28"/>
        </w:rPr>
        <w:t>(подпрограммы)</w:t>
      </w:r>
    </w:p>
    <w:p w:rsidR="000939FC" w:rsidRPr="008F42CA" w:rsidRDefault="000939FC" w:rsidP="000939F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9" w:type="dxa"/>
        <w:tblCellSpacing w:w="5" w:type="nil"/>
        <w:tblInd w:w="11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0"/>
        <w:gridCol w:w="1630"/>
        <w:gridCol w:w="4019"/>
      </w:tblGrid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Наименование показателя  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0939FC" w:rsidRPr="008F42CA" w:rsidRDefault="000939FC" w:rsidP="006C0E81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:rsidR="000939FC" w:rsidRPr="008F42CA" w:rsidRDefault="000939FC" w:rsidP="006C0E81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:rsidR="000939FC" w:rsidRPr="008F42CA" w:rsidRDefault="000939FC" w:rsidP="006C0E81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(Е)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0939FC" w:rsidRPr="00C96113" w:rsidTr="00BF36AB">
        <w:trPr>
          <w:trHeight w:val="14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C96113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0939FC" w:rsidRDefault="000939FC" w:rsidP="00BF36AB"/>
    <w:sectPr w:rsidR="000939FC" w:rsidSect="000939FC">
      <w:pgSz w:w="11906" w:h="16838"/>
      <w:pgMar w:top="851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0"/>
    <w:rsid w:val="000939FC"/>
    <w:rsid w:val="001F3E7E"/>
    <w:rsid w:val="00255B82"/>
    <w:rsid w:val="00286698"/>
    <w:rsid w:val="00513AC4"/>
    <w:rsid w:val="006628CC"/>
    <w:rsid w:val="007F137D"/>
    <w:rsid w:val="0092547E"/>
    <w:rsid w:val="00A00912"/>
    <w:rsid w:val="00A03241"/>
    <w:rsid w:val="00A2316B"/>
    <w:rsid w:val="00A30675"/>
    <w:rsid w:val="00BD6432"/>
    <w:rsid w:val="00BF36AB"/>
    <w:rsid w:val="00C61A90"/>
    <w:rsid w:val="00C872F0"/>
    <w:rsid w:val="00CC63C0"/>
    <w:rsid w:val="00DE0B11"/>
    <w:rsid w:val="00E878FA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63C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CC63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63C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CC63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4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1F28-C250-4DB0-90BF-AEFBF49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20</cp:revision>
  <cp:lastPrinted>2021-10-12T06:11:00Z</cp:lastPrinted>
  <dcterms:created xsi:type="dcterms:W3CDTF">2021-02-11T06:57:00Z</dcterms:created>
  <dcterms:modified xsi:type="dcterms:W3CDTF">2021-10-15T08:08:00Z</dcterms:modified>
</cp:coreProperties>
</file>